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60"/>
          <w:szCs w:val="60"/>
          <w:u w:val="single"/>
          <w:rtl w:val="0"/>
        </w:rPr>
        <w:t xml:space="preserve">Word of the Week:  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u w:val="single"/>
          <w:rtl w:val="0"/>
        </w:rPr>
        <w:t xml:space="preserve">THINK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__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Functions of Language</w:t>
            </w:r>
            <w:r w:rsidDel="00000000" w:rsidR="00000000" w:rsidRPr="00000000">
              <w:rPr>
                <w:sz w:val="32"/>
                <w:szCs w:val="32"/>
                <w:u w:val="single"/>
                <w:rtl w:val="0"/>
              </w:rPr>
              <w:t xml:space="preserve">__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Model and encourage the word of the week for different functions: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206.0" w:type="dxa"/>
              <w:jc w:val="left"/>
              <w:tblInd w:w="6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45"/>
              <w:gridCol w:w="3861"/>
              <w:tblGridChange w:id="0">
                <w:tblGrid>
                  <w:gridCol w:w="345"/>
                  <w:gridCol w:w="3861"/>
                </w:tblGrid>
              </w:tblGridChange>
            </w:tblGrid>
            <w:tr>
              <w:trPr>
                <w:trHeight w:val="500" w:hRule="atLeast"/>
              </w:trPr>
              <w:tc>
                <w:tcPr/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Request: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Can you give me a moment to think about it?</w:t>
                  </w:r>
                </w:p>
              </w:tc>
            </w:tr>
            <w:tr>
              <w:trPr>
                <w:trHeight w:val="480" w:hRule="atLeast"/>
              </w:trPr>
              <w:tc>
                <w:tcPr/>
                <w:p w:rsidR="00000000" w:rsidDel="00000000" w:rsidP="00000000" w:rsidRDefault="00000000" w:rsidRPr="00000000" w14:paraId="0000000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Negative form: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I don’t think we should do that.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00" w:hRule="atLeast"/>
              </w:trPr>
              <w:tc>
                <w:tcPr/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Ask Questions:</w:t>
                  </w:r>
                </w:p>
                <w:p w:rsidR="00000000" w:rsidDel="00000000" w:rsidP="00000000" w:rsidRDefault="00000000" w:rsidRPr="00000000" w14:paraId="0000000F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Where do you think it went?</w:t>
                  </w:r>
                </w:p>
              </w:tc>
            </w:tr>
            <w:tr>
              <w:trPr>
                <w:trHeight w:val="480" w:hRule="atLeast"/>
              </w:trPr>
              <w:tc>
                <w:tcPr/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Provide Information: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I am going to think about giving you more free time.</w:t>
                  </w:r>
                </w:p>
              </w:tc>
            </w:tr>
            <w:tr>
              <w:trPr>
                <w:trHeight w:val="500" w:hRule="atLeast"/>
              </w:trPr>
              <w:tc>
                <w:tcPr/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Direct Actions:</w:t>
                  </w:r>
                </w:p>
                <w:p w:rsidR="00000000" w:rsidDel="00000000" w:rsidP="00000000" w:rsidRDefault="00000000" w:rsidRPr="00000000" w14:paraId="00000015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Think about what you want to eat.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Transitions/ Daily Routines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Time to think about bath time.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 need to think about what we want for dinner.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Can you think about a game to play?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What do you think you should wear outside?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rPr>
                <w:b w:val="1"/>
                <w:i w:val="1"/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Do you think it’s time for a snack?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14909" cy="104298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909" cy="104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ASL: THINK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READING/WRITING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THINK BIG</w:t>
            </w:r>
            <w:r w:rsidDel="00000000" w:rsidR="00000000" w:rsidRPr="00000000">
              <w:rPr>
                <w:rtl w:val="0"/>
              </w:rPr>
              <w:t xml:space="preserve"> by Liz Garton Scanlon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36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23925" cy="936162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361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Doing a picture walk, ask your child to think about how characters are different/same.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While reading the stories expand the story and think about different things that could be considered art.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 the end ask your child what he/she thought of the story.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SOCIAL FOCUS/MEDIA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tl w:val="0"/>
              </w:rPr>
              <w:t xml:space="preserve">Think Like a puppy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”-- Youtube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 ‘How would a puppy think?’ e.g., kind, playful, nice, etc.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Think and discuss ways to be kind, e.g., I think it would be kind to share toys, etc.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Playing “I’m thinking” by describing an item you are thinking of and have others guess, e.g., hot, in the sky, round, gives light,(sun)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36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04925" cy="133694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369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